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C3F64" w:rsidRPr="00885372" w:rsidRDefault="005C3F64" w:rsidP="005C3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4472C4" w:themeColor="accent1"/>
        </w:rPr>
      </w:pPr>
      <w:r w:rsidRPr="00885372">
        <w:rPr>
          <w:rFonts w:ascii="Times New Roman" w:hAnsi="Times New Roman" w:cs="Times New Roman"/>
          <w:b/>
          <w:color w:val="4472C4" w:themeColor="accent1"/>
        </w:rPr>
        <w:t xml:space="preserve">Gioco </w:t>
      </w:r>
      <w:proofErr w:type="spellStart"/>
      <w:r w:rsidRPr="00885372">
        <w:rPr>
          <w:rFonts w:ascii="Times New Roman" w:hAnsi="Times New Roman" w:cs="Times New Roman"/>
          <w:b/>
          <w:color w:val="4472C4" w:themeColor="accent1"/>
        </w:rPr>
        <w:t>Scaldastorie</w:t>
      </w:r>
      <w:proofErr w:type="spellEnd"/>
    </w:p>
    <w:p w:rsidR="005C3F64" w:rsidRPr="00885372" w:rsidRDefault="005C3F64" w:rsidP="005C3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4472C4" w:themeColor="accent1"/>
        </w:rPr>
      </w:pPr>
      <w:r w:rsidRPr="00885372">
        <w:rPr>
          <w:rFonts w:ascii="Times New Roman" w:hAnsi="Times New Roman" w:cs="Times New Roman"/>
          <w:bCs/>
          <w:color w:val="4472C4" w:themeColor="accent1"/>
        </w:rPr>
        <w:t>Per riconoscere</w:t>
      </w:r>
      <w:r w:rsidRPr="00885372">
        <w:rPr>
          <w:rFonts w:ascii="Times New Roman" w:hAnsi="Times New Roman" w:cs="Times New Roman"/>
          <w:color w:val="4472C4" w:themeColor="accent1"/>
        </w:rPr>
        <w:t xml:space="preserve"> l</w:t>
      </w:r>
      <w:r w:rsidRPr="00885372">
        <w:rPr>
          <w:rFonts w:ascii="Times New Roman" w:hAnsi="Times New Roman" w:cs="Times New Roman"/>
          <w:bCs/>
          <w:color w:val="4472C4" w:themeColor="accent1"/>
        </w:rPr>
        <w:t>a propria e l’altrui unicità,</w:t>
      </w:r>
      <w:r w:rsidRPr="00885372">
        <w:rPr>
          <w:rFonts w:ascii="Times New Roman" w:hAnsi="Times New Roman" w:cs="Times New Roman"/>
          <w:color w:val="4472C4" w:themeColor="accent1"/>
        </w:rPr>
        <w:t xml:space="preserve"> </w:t>
      </w:r>
      <w:r w:rsidRPr="00885372">
        <w:rPr>
          <w:rFonts w:ascii="Times New Roman" w:hAnsi="Times New Roman" w:cs="Times New Roman"/>
          <w:bCs/>
          <w:color w:val="4472C4" w:themeColor="accent1"/>
        </w:rPr>
        <w:t>la propria e l’altrui diversità.</w:t>
      </w:r>
      <w:r w:rsidRPr="00885372">
        <w:rPr>
          <w:rFonts w:ascii="Times New Roman" w:hAnsi="Times New Roman" w:cs="Times New Roman"/>
          <w:color w:val="4472C4" w:themeColor="accent1"/>
        </w:rPr>
        <w:t xml:space="preserve"> </w:t>
      </w:r>
    </w:p>
    <w:p w:rsidR="005C3F64" w:rsidRPr="00885372" w:rsidRDefault="005C3F64" w:rsidP="005C3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4472C4" w:themeColor="accent1"/>
        </w:rPr>
      </w:pPr>
      <w:r w:rsidRPr="00885372">
        <w:rPr>
          <w:rFonts w:ascii="Times New Roman" w:hAnsi="Times New Roman" w:cs="Times New Roman"/>
          <w:color w:val="4472C4" w:themeColor="accent1"/>
        </w:rPr>
        <w:t>“</w:t>
      </w:r>
      <w:r w:rsidRPr="00885372">
        <w:rPr>
          <w:rFonts w:ascii="Times New Roman" w:hAnsi="Times New Roman" w:cs="Times New Roman"/>
          <w:iCs/>
          <w:color w:val="4472C4" w:themeColor="accent1"/>
        </w:rPr>
        <w:t>E’ nel giocare e soltanto mentre gioca che l’individuo, bambino o</w:t>
      </w:r>
      <w:r w:rsidRPr="00885372">
        <w:rPr>
          <w:rFonts w:ascii="Times New Roman" w:hAnsi="Times New Roman" w:cs="Times New Roman"/>
          <w:color w:val="4472C4" w:themeColor="accent1"/>
        </w:rPr>
        <w:t xml:space="preserve"> </w:t>
      </w:r>
      <w:r w:rsidRPr="00885372">
        <w:rPr>
          <w:rFonts w:ascii="Times New Roman" w:hAnsi="Times New Roman" w:cs="Times New Roman"/>
          <w:iCs/>
          <w:color w:val="4472C4" w:themeColor="accent1"/>
        </w:rPr>
        <w:t>adulto che sia, è in grado di essere creativo e di fare uso dell’intera personalità, ed è solo nell’essere creativo che l’individuo scopre il sé”.</w:t>
      </w:r>
      <w:r w:rsidRPr="00885372">
        <w:rPr>
          <w:rFonts w:ascii="Times New Roman" w:hAnsi="Times New Roman" w:cs="Times New Roman"/>
          <w:color w:val="4472C4" w:themeColor="accent1"/>
        </w:rPr>
        <w:t xml:space="preserve"> D. W. Winnicott (1896-1971). Uno strumento di </w:t>
      </w:r>
      <w:r w:rsidRPr="00885372">
        <w:rPr>
          <w:rFonts w:ascii="Times New Roman" w:hAnsi="Times New Roman" w:cs="Times New Roman"/>
          <w:b/>
          <w:color w:val="4472C4" w:themeColor="accent1"/>
        </w:rPr>
        <w:t>parole</w:t>
      </w:r>
      <w:r w:rsidRPr="00885372">
        <w:rPr>
          <w:rFonts w:ascii="Times New Roman" w:hAnsi="Times New Roman" w:cs="Times New Roman"/>
          <w:color w:val="4472C4" w:themeColor="accent1"/>
        </w:rPr>
        <w:t xml:space="preserve"> per sperimentare una modalità didattica più aperta all’ascolto, alla sensibilizzazione - difficilmente condivisa -</w:t>
      </w:r>
      <w:r w:rsidRPr="00885372">
        <w:rPr>
          <w:rFonts w:ascii="Times New Roman" w:hAnsi="Times New Roman" w:cs="Times New Roman"/>
          <w:bCs/>
          <w:color w:val="4472C4" w:themeColor="accent1"/>
        </w:rPr>
        <w:t xml:space="preserve"> </w:t>
      </w:r>
      <w:r w:rsidRPr="00885372">
        <w:rPr>
          <w:rFonts w:ascii="Times New Roman" w:hAnsi="Times New Roman" w:cs="Times New Roman"/>
          <w:color w:val="4472C4" w:themeColor="accent1"/>
        </w:rPr>
        <w:t>della</w:t>
      </w:r>
      <w:r w:rsidRPr="00885372">
        <w:rPr>
          <w:rFonts w:ascii="Times New Roman" w:hAnsi="Times New Roman" w:cs="Times New Roman"/>
          <w:bCs/>
          <w:color w:val="4472C4" w:themeColor="accent1"/>
        </w:rPr>
        <w:t xml:space="preserve"> sfera emotiva, finalizzato a creare </w:t>
      </w:r>
      <w:r w:rsidRPr="00885372">
        <w:rPr>
          <w:rFonts w:ascii="Times New Roman" w:hAnsi="Times New Roman" w:cs="Times New Roman"/>
          <w:iCs/>
          <w:color w:val="4472C4" w:themeColor="accent1"/>
        </w:rPr>
        <w:t xml:space="preserve">un ambiente dialogico, più attento ai vissuti, ai pensieri, agli interessi, alle attitudini, alle potenzialità, alle vocazioni dei partecipanti. E ’un gioco che invita ad avvicinarsi all’altra/o e a scoprire un modo diverso di relazionarsi, di pensare il proprio ruolo, parlando/scrivendo di </w:t>
      </w:r>
      <w:r w:rsidRPr="00885372">
        <w:rPr>
          <w:rFonts w:ascii="Times New Roman" w:hAnsi="Times New Roman" w:cs="Times New Roman"/>
          <w:bCs/>
          <w:color w:val="4472C4" w:themeColor="accent1"/>
        </w:rPr>
        <w:t>sentimenti:</w:t>
      </w:r>
      <w:r w:rsidRPr="00885372">
        <w:rPr>
          <w:rFonts w:ascii="Times New Roman" w:hAnsi="Times New Roman" w:cs="Times New Roman"/>
          <w:color w:val="4472C4" w:themeColor="accent1"/>
        </w:rPr>
        <w:t xml:space="preserve"> uno spazio/tempo dove ci si conosce e si</w:t>
      </w:r>
      <w:r w:rsidRPr="00885372">
        <w:rPr>
          <w:rFonts w:ascii="Times New Roman" w:hAnsi="Times New Roman" w:cs="Times New Roman"/>
          <w:iCs/>
          <w:color w:val="4472C4" w:themeColor="accent1"/>
        </w:rPr>
        <w:t xml:space="preserve"> conosce </w:t>
      </w:r>
      <w:r w:rsidRPr="00885372">
        <w:rPr>
          <w:rFonts w:ascii="Times New Roman" w:hAnsi="Times New Roman" w:cs="Times New Roman"/>
          <w:color w:val="4472C4" w:themeColor="accent1"/>
        </w:rPr>
        <w:t>accogliendo le emozioni, i sentimenti</w:t>
      </w:r>
      <w:r w:rsidRPr="00885372">
        <w:rPr>
          <w:rFonts w:ascii="Times New Roman" w:hAnsi="Times New Roman" w:cs="Times New Roman"/>
          <w:iCs/>
          <w:color w:val="4472C4" w:themeColor="accent1"/>
        </w:rPr>
        <w:t xml:space="preserve"> per </w:t>
      </w:r>
      <w:r w:rsidRPr="00885372">
        <w:rPr>
          <w:rFonts w:ascii="Times New Roman" w:hAnsi="Times New Roman" w:cs="Times New Roman"/>
          <w:color w:val="4472C4" w:themeColor="accent1"/>
        </w:rPr>
        <w:t xml:space="preserve">una </w:t>
      </w:r>
      <w:r w:rsidRPr="00885372">
        <w:rPr>
          <w:rFonts w:ascii="Times New Roman" w:hAnsi="Times New Roman" w:cs="Times New Roman"/>
          <w:iCs/>
          <w:color w:val="4472C4" w:themeColor="accent1"/>
        </w:rPr>
        <w:t>costruzione di senso</w:t>
      </w:r>
      <w:r w:rsidRPr="00885372">
        <w:rPr>
          <w:rFonts w:ascii="Times New Roman" w:hAnsi="Times New Roman" w:cs="Times New Roman"/>
          <w:color w:val="4472C4" w:themeColor="accent1"/>
        </w:rPr>
        <w:t xml:space="preserve"> </w:t>
      </w:r>
      <w:r w:rsidRPr="00885372">
        <w:rPr>
          <w:rFonts w:ascii="Times New Roman" w:hAnsi="Times New Roman" w:cs="Times New Roman"/>
          <w:iCs/>
          <w:color w:val="4472C4" w:themeColor="accent1"/>
        </w:rPr>
        <w:t>dello stare insieme, dell’imparare insieme.</w:t>
      </w:r>
    </w:p>
    <w:p w:rsidR="005C3F64" w:rsidRPr="00885372" w:rsidRDefault="005C3F64" w:rsidP="005C3F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4472C4" w:themeColor="accent1"/>
        </w:rPr>
      </w:pPr>
      <w:r w:rsidRPr="00885372">
        <w:rPr>
          <w:rFonts w:ascii="Times New Roman" w:hAnsi="Times New Roman" w:cs="Times New Roman"/>
          <w:iCs/>
          <w:color w:val="4472C4" w:themeColor="accent1"/>
        </w:rPr>
        <w:t>Descrizione delle fasi del lavoro:</w:t>
      </w:r>
    </w:p>
    <w:p w:rsidR="005C3F64" w:rsidRPr="00885372" w:rsidRDefault="005C3F64" w:rsidP="005C3F64">
      <w:pPr>
        <w:pStyle w:val="Corpotesto"/>
        <w:jc w:val="both"/>
        <w:rPr>
          <w:rFonts w:ascii="Times New Roman" w:hAnsi="Times New Roman" w:cs="Times New Roman"/>
          <w:b/>
          <w:color w:val="4472C4" w:themeColor="accent1"/>
          <w:sz w:val="24"/>
          <w:szCs w:val="24"/>
        </w:rPr>
      </w:pPr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a) l’insegnante racconta il senso dello </w:t>
      </w:r>
      <w:proofErr w:type="spellStart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>Scaldastorie</w:t>
      </w:r>
      <w:proofErr w:type="spellEnd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. Si tratta di   creare un luogo, un tempo riempito dalle storie narrate, per creare un clima caldo, accogliente, intimo. </w:t>
      </w:r>
      <w:proofErr w:type="gramStart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>E’</w:t>
      </w:r>
      <w:proofErr w:type="gramEnd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bene richiamare agli studenti il significato della parola emozione (dal latino, e-</w:t>
      </w:r>
      <w:proofErr w:type="spellStart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>moveo</w:t>
      </w:r>
      <w:proofErr w:type="spellEnd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>, muovere, movimento da), e evidenziare il legame tra le percezioni dei sensi (odori, suoni, rumori, parole, sapori, caldo, freddo, morbido, immagini) e le emozioni.</w:t>
      </w:r>
      <w:r w:rsidRPr="00885372">
        <w:rPr>
          <w:rFonts w:ascii="Times New Roman" w:hAnsi="Times New Roman" w:cs="Times New Roman"/>
          <w:b/>
          <w:color w:val="4472C4" w:themeColor="accent1"/>
          <w:sz w:val="24"/>
          <w:szCs w:val="24"/>
        </w:rPr>
        <w:t xml:space="preserve"> </w:t>
      </w:r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>b) Materiale di gioco: si ritagliano dei fogli in dimensioni più piccole</w:t>
      </w:r>
      <w:r w:rsidRPr="00885372">
        <w:rPr>
          <w:rFonts w:ascii="Times New Roman" w:hAnsi="Times New Roman" w:cs="Times New Roman"/>
          <w:b/>
          <w:color w:val="4472C4" w:themeColor="accent1"/>
          <w:sz w:val="24"/>
          <w:szCs w:val="24"/>
        </w:rPr>
        <w:t xml:space="preserve"> </w:t>
      </w:r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>c) Ogni studente è invitato a prenderne uno e a scriverci una parola che evochi in lui un’emozione o un fatto di cui vorrebbe parlare o sentir parlare (anche l’insegnante ne compilerà uno con una parola attraverso la quale desidera raccontarsi e tante altre che riterrà stimolanti al  fine dell’UDA che si appresta a sviluppare d) Si decide insieme il tipo di contenitore da utilizzare per contenere i foglietti, in modo che abbia una forma simbolica condivisa dalle studentesse e studenti</w:t>
      </w:r>
      <w:r w:rsidRPr="00885372">
        <w:rPr>
          <w:rFonts w:ascii="Times New Roman" w:hAnsi="Times New Roman" w:cs="Times New Roman"/>
          <w:b/>
          <w:color w:val="4472C4" w:themeColor="accent1"/>
          <w:sz w:val="24"/>
          <w:szCs w:val="24"/>
        </w:rPr>
        <w:t xml:space="preserve"> </w:t>
      </w:r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e) Si depositano tutti i foglietti, ripiegati ed anonimi nel contenitore </w:t>
      </w:r>
      <w:r w:rsidRPr="00885372">
        <w:rPr>
          <w:rFonts w:ascii="Times New Roman" w:hAnsi="Times New Roman" w:cs="Times New Roman"/>
          <w:b/>
          <w:color w:val="4472C4" w:themeColor="accent1"/>
          <w:sz w:val="24"/>
          <w:szCs w:val="24"/>
        </w:rPr>
        <w:t xml:space="preserve"> </w:t>
      </w:r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f) </w:t>
      </w:r>
      <w:r w:rsidRPr="00885372">
        <w:rPr>
          <w:rFonts w:ascii="Times New Roman" w:hAnsi="Times New Roman" w:cs="Times New Roman"/>
          <w:bCs/>
          <w:color w:val="4472C4" w:themeColor="accent1"/>
          <w:sz w:val="24"/>
          <w:szCs w:val="24"/>
        </w:rPr>
        <w:t>L’insegnante invita un’allieva/o a pescare dal contenitore un foglietto. Lascia qualche minuto di riflessione e poi lo invita a esporre al gruppo le sensazioni legate a quella parola, le emozioni,</w:t>
      </w:r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 </w:t>
      </w:r>
      <w:r w:rsidRPr="00885372">
        <w:rPr>
          <w:rFonts w:ascii="Times New Roman" w:hAnsi="Times New Roman" w:cs="Times New Roman"/>
          <w:bCs/>
          <w:color w:val="4472C4" w:themeColor="accent1"/>
          <w:sz w:val="24"/>
          <w:szCs w:val="24"/>
        </w:rPr>
        <w:t xml:space="preserve">i ricordi e le esperienze. Come fa l’insegnante ad incoraggiare i propri allievi al racconto? </w:t>
      </w:r>
      <w:r w:rsidRPr="00885372">
        <w:rPr>
          <w:rFonts w:ascii="Times New Roman" w:hAnsi="Times New Roman" w:cs="Times New Roman"/>
          <w:bCs/>
          <w:color w:val="4472C4" w:themeColor="accent1"/>
          <w:sz w:val="24"/>
          <w:szCs w:val="24"/>
          <w:u w:val="single"/>
        </w:rPr>
        <w:t>Senza forzarli</w:t>
      </w:r>
      <w:r w:rsidRPr="00885372">
        <w:rPr>
          <w:rFonts w:ascii="Times New Roman" w:hAnsi="Times New Roman" w:cs="Times New Roman"/>
          <w:bCs/>
          <w:color w:val="4472C4" w:themeColor="accent1"/>
          <w:sz w:val="24"/>
          <w:szCs w:val="24"/>
        </w:rPr>
        <w:t>: ribadisce, più volte, che l’attenzione di tutti è rivolta solo a ciò che per essi è importante, vero, verosimile, fantastico o bugiardo che sia; fa comprendere la differenza tra pregiudizio e conoscenza. Nel tempo, non sentendosi più allo sbaraglio, ma in una situazione affidabile, la storia di ciascuno si aprirà a quella degli altri.</w:t>
      </w:r>
      <w:r w:rsidRPr="00885372">
        <w:rPr>
          <w:rFonts w:ascii="Times New Roman" w:hAnsi="Times New Roman" w:cs="Times New Roman"/>
          <w:b/>
          <w:bCs/>
          <w:color w:val="4472C4" w:themeColor="accent1"/>
          <w:sz w:val="24"/>
          <w:szCs w:val="24"/>
        </w:rPr>
        <w:t xml:space="preserve"> </w:t>
      </w:r>
      <w:r w:rsidRPr="00885372">
        <w:rPr>
          <w:rFonts w:ascii="Times New Roman" w:hAnsi="Times New Roman" w:cs="Times New Roman"/>
          <w:bCs/>
          <w:color w:val="4472C4" w:themeColor="accent1"/>
          <w:sz w:val="24"/>
          <w:szCs w:val="24"/>
        </w:rPr>
        <w:t>E se ancora nessuno dei presenti accetta l’invito dell’insegnante?</w:t>
      </w:r>
      <w:r w:rsidRPr="00885372">
        <w:rPr>
          <w:rFonts w:ascii="Times New Roman" w:eastAsiaTheme="minorEastAsia" w:hAnsi="Times New Roman" w:cs="Times New Roman"/>
          <w:color w:val="4472C4" w:themeColor="accent1"/>
          <w:kern w:val="24"/>
          <w:sz w:val="24"/>
          <w:szCs w:val="24"/>
          <w:lang w:eastAsia="it-IT"/>
        </w:rPr>
        <w:t xml:space="preserve"> </w:t>
      </w:r>
      <w:r w:rsidRPr="00885372">
        <w:rPr>
          <w:rFonts w:ascii="Times New Roman" w:hAnsi="Times New Roman" w:cs="Times New Roman"/>
          <w:bCs/>
          <w:color w:val="4472C4" w:themeColor="accent1"/>
          <w:sz w:val="24"/>
          <w:szCs w:val="24"/>
        </w:rPr>
        <w:t>Inizia lei/lui, vedrà che poi la/o seguiranno.</w:t>
      </w:r>
    </w:p>
    <w:p w:rsidR="005C3F64" w:rsidRPr="00885372" w:rsidRDefault="005C3F64" w:rsidP="005C3F64">
      <w:pPr>
        <w:pStyle w:val="Rientrocorpodeltesto"/>
        <w:spacing w:after="0"/>
        <w:ind w:left="0"/>
        <w:jc w:val="both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Simonelli </w:t>
      </w:r>
      <w:proofErr w:type="gramStart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>A.M.( 2002</w:t>
      </w:r>
      <w:proofErr w:type="gramEnd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) </w:t>
      </w:r>
      <w:r w:rsidRPr="00885372">
        <w:rPr>
          <w:rStyle w:val="Enfasicorsivo"/>
          <w:rFonts w:ascii="Times New Roman" w:hAnsi="Times New Roman" w:cs="Times New Roman"/>
          <w:color w:val="4472C4" w:themeColor="accent1"/>
          <w:sz w:val="24"/>
          <w:szCs w:val="24"/>
        </w:rPr>
        <w:t xml:space="preserve">Lo </w:t>
      </w:r>
      <w:proofErr w:type="spellStart"/>
      <w:r w:rsidRPr="00885372">
        <w:rPr>
          <w:rStyle w:val="Enfasicorsivo"/>
          <w:rFonts w:ascii="Times New Roman" w:hAnsi="Times New Roman" w:cs="Times New Roman"/>
          <w:color w:val="4472C4" w:themeColor="accent1"/>
          <w:sz w:val="24"/>
          <w:szCs w:val="24"/>
        </w:rPr>
        <w:t>scaldastorie</w:t>
      </w:r>
      <w:proofErr w:type="spellEnd"/>
      <w:r w:rsidRPr="00885372">
        <w:rPr>
          <w:rFonts w:ascii="Times New Roman" w:hAnsi="Times New Roman" w:cs="Times New Roman"/>
          <w:i/>
          <w:color w:val="4472C4" w:themeColor="accent1"/>
          <w:sz w:val="24"/>
          <w:szCs w:val="24"/>
        </w:rPr>
        <w:t xml:space="preserve">, </w:t>
      </w:r>
      <w:proofErr w:type="spellStart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>Pedagogika</w:t>
      </w:r>
      <w:proofErr w:type="spellEnd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>, anno VI, n. 2, Rho (MI)</w:t>
      </w:r>
    </w:p>
    <w:p w:rsidR="005C3F64" w:rsidRPr="00885372" w:rsidRDefault="005C3F64" w:rsidP="005C3F64">
      <w:pPr>
        <w:jc w:val="both"/>
        <w:rPr>
          <w:rFonts w:ascii="Times New Roman" w:hAnsi="Times New Roman" w:cs="Times New Roman"/>
          <w:color w:val="4472C4" w:themeColor="accent1"/>
        </w:rPr>
      </w:pPr>
      <w:r w:rsidRPr="00885372">
        <w:rPr>
          <w:rFonts w:ascii="Times New Roman" w:hAnsi="Times New Roman" w:cs="Times New Roman"/>
          <w:color w:val="4472C4" w:themeColor="accent1"/>
        </w:rPr>
        <w:t xml:space="preserve">Simonelli A.M. (2005) </w:t>
      </w:r>
      <w:r w:rsidRPr="00885372">
        <w:rPr>
          <w:rFonts w:ascii="Times New Roman" w:hAnsi="Times New Roman" w:cs="Times New Roman"/>
          <w:i/>
          <w:iCs/>
          <w:color w:val="4472C4" w:themeColor="accent1"/>
        </w:rPr>
        <w:t>La scrittura e l’emozione: la metodologia autobiografica</w:t>
      </w:r>
      <w:r w:rsidRPr="00885372">
        <w:rPr>
          <w:rFonts w:ascii="Times New Roman" w:hAnsi="Times New Roman" w:cs="Times New Roman"/>
          <w:color w:val="4472C4" w:themeColor="accent1"/>
        </w:rPr>
        <w:t xml:space="preserve">, in Carletti A. Varani A. </w:t>
      </w:r>
      <w:r w:rsidRPr="00885372">
        <w:rPr>
          <w:rFonts w:ascii="Times New Roman" w:hAnsi="Times New Roman" w:cs="Times New Roman"/>
          <w:i/>
          <w:iCs/>
          <w:color w:val="4472C4" w:themeColor="accent1"/>
        </w:rPr>
        <w:t xml:space="preserve">Didattica costruttivista. Dalle teorie alla pratica in </w:t>
      </w:r>
      <w:proofErr w:type="gramStart"/>
      <w:r w:rsidRPr="00885372">
        <w:rPr>
          <w:rFonts w:ascii="Times New Roman" w:hAnsi="Times New Roman" w:cs="Times New Roman"/>
          <w:i/>
          <w:iCs/>
          <w:color w:val="4472C4" w:themeColor="accent1"/>
        </w:rPr>
        <w:t>classe</w:t>
      </w:r>
      <w:r w:rsidRPr="00885372">
        <w:rPr>
          <w:rFonts w:ascii="Times New Roman" w:hAnsi="Times New Roman" w:cs="Times New Roman"/>
          <w:color w:val="4472C4" w:themeColor="accent1"/>
        </w:rPr>
        <w:t xml:space="preserve">,   </w:t>
      </w:r>
      <w:proofErr w:type="gramEnd"/>
      <w:r w:rsidRPr="00885372">
        <w:rPr>
          <w:rFonts w:ascii="Times New Roman" w:hAnsi="Times New Roman" w:cs="Times New Roman"/>
          <w:color w:val="4472C4" w:themeColor="accent1"/>
        </w:rPr>
        <w:t>Trento, Erickson</w:t>
      </w:r>
    </w:p>
    <w:p w:rsidR="005C3F64" w:rsidRPr="00885372" w:rsidRDefault="005C3F64" w:rsidP="005C3F64">
      <w:pPr>
        <w:pStyle w:val="Rientrocorpodeltesto"/>
        <w:tabs>
          <w:tab w:val="left" w:pos="993"/>
        </w:tabs>
        <w:spacing w:after="0"/>
        <w:ind w:left="0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Simonelli A.M. (2005) </w:t>
      </w:r>
      <w:r w:rsidRPr="00885372">
        <w:rPr>
          <w:rFonts w:ascii="Times New Roman" w:hAnsi="Times New Roman" w:cs="Times New Roman"/>
          <w:i/>
          <w:iCs/>
          <w:color w:val="4472C4" w:themeColor="accent1"/>
          <w:sz w:val="24"/>
          <w:szCs w:val="24"/>
        </w:rPr>
        <w:t xml:space="preserve">Un’ora autobiografica: lo </w:t>
      </w:r>
      <w:proofErr w:type="spellStart"/>
      <w:r w:rsidRPr="00885372">
        <w:rPr>
          <w:rFonts w:ascii="Times New Roman" w:hAnsi="Times New Roman" w:cs="Times New Roman"/>
          <w:i/>
          <w:iCs/>
          <w:color w:val="4472C4" w:themeColor="accent1"/>
          <w:sz w:val="24"/>
          <w:szCs w:val="24"/>
        </w:rPr>
        <w:t>scaldastorie</w:t>
      </w:r>
      <w:proofErr w:type="spellEnd"/>
      <w:r w:rsidRPr="00885372">
        <w:rPr>
          <w:rFonts w:ascii="Times New Roman" w:hAnsi="Times New Roman" w:cs="Times New Roman"/>
          <w:color w:val="4472C4" w:themeColor="accent1"/>
          <w:sz w:val="24"/>
          <w:szCs w:val="24"/>
        </w:rPr>
        <w:t xml:space="preserve">, in htt://puntoedu.indire.it/ Piani di studio personalizzati e Unità di apprendimento </w:t>
      </w:r>
    </w:p>
    <w:p w:rsidR="005C3F64" w:rsidRPr="00885372" w:rsidRDefault="005C3F64" w:rsidP="005C3F64">
      <w:pPr>
        <w:pStyle w:val="Titolo4"/>
        <w:rPr>
          <w:rFonts w:ascii="Times New Roman" w:hAnsi="Times New Roman"/>
          <w:b w:val="0"/>
          <w:i w:val="0"/>
          <w:color w:val="4472C4" w:themeColor="accent1"/>
          <w:szCs w:val="24"/>
        </w:rPr>
      </w:pPr>
      <w:r w:rsidRPr="00885372">
        <w:rPr>
          <w:rFonts w:ascii="Times New Roman" w:hAnsi="Times New Roman"/>
          <w:b w:val="0"/>
          <w:i w:val="0"/>
          <w:color w:val="4472C4" w:themeColor="accent1"/>
          <w:szCs w:val="24"/>
        </w:rPr>
        <w:t>Simonelli A. M. (2007) Storia di una notizia, in</w:t>
      </w:r>
      <w:r w:rsidRPr="00885372">
        <w:rPr>
          <w:rFonts w:ascii="Times New Roman" w:hAnsi="Times New Roman"/>
          <w:color w:val="4472C4" w:themeColor="accent1"/>
          <w:szCs w:val="24"/>
        </w:rPr>
        <w:t xml:space="preserve"> </w:t>
      </w:r>
      <w:r w:rsidRPr="00885372">
        <w:rPr>
          <w:rFonts w:ascii="Times New Roman" w:hAnsi="Times New Roman"/>
          <w:b w:val="0"/>
          <w:i w:val="0"/>
          <w:color w:val="4472C4" w:themeColor="accent1"/>
          <w:szCs w:val="24"/>
        </w:rPr>
        <w:t>Carletti, A., &amp; Varani, A. (</w:t>
      </w:r>
      <w:proofErr w:type="spellStart"/>
      <w:r w:rsidRPr="00885372">
        <w:rPr>
          <w:rFonts w:ascii="Times New Roman" w:hAnsi="Times New Roman"/>
          <w:b w:val="0"/>
          <w:i w:val="0"/>
          <w:color w:val="4472C4" w:themeColor="accent1"/>
          <w:szCs w:val="24"/>
        </w:rPr>
        <w:t>Eds</w:t>
      </w:r>
      <w:proofErr w:type="spellEnd"/>
      <w:r w:rsidRPr="00885372">
        <w:rPr>
          <w:rFonts w:ascii="Times New Roman" w:hAnsi="Times New Roman"/>
          <w:b w:val="0"/>
          <w:i w:val="0"/>
          <w:color w:val="4472C4" w:themeColor="accent1"/>
          <w:szCs w:val="24"/>
        </w:rPr>
        <w:t>.), Ambienti di apprendimento e nuove tecnologie. Nuove applicazioni della didattica costruttivista nella scuola. Trento: Erickson</w:t>
      </w:r>
    </w:p>
    <w:p w:rsidR="009B70E3" w:rsidRDefault="009B70E3"/>
    <w:sectPr w:rsidR="009B70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F64"/>
    <w:rsid w:val="00066E92"/>
    <w:rsid w:val="001A70AD"/>
    <w:rsid w:val="001B171D"/>
    <w:rsid w:val="00534F48"/>
    <w:rsid w:val="005C3F64"/>
    <w:rsid w:val="009B70E3"/>
    <w:rsid w:val="00CC0226"/>
    <w:rsid w:val="00D12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21EEBF3-0469-9C4F-A1DF-49D0DBBF5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3F64"/>
    <w:rPr>
      <w:kern w:val="0"/>
      <w14:ligatures w14:val="none"/>
    </w:rPr>
  </w:style>
  <w:style w:type="paragraph" w:styleId="Titolo4">
    <w:name w:val="heading 4"/>
    <w:basedOn w:val="Normale"/>
    <w:next w:val="Normale"/>
    <w:link w:val="Titolo4Carattere"/>
    <w:qFormat/>
    <w:rsid w:val="005C3F64"/>
    <w:pPr>
      <w:keepNext/>
      <w:outlineLvl w:val="3"/>
    </w:pPr>
    <w:rPr>
      <w:rFonts w:ascii="Verdana" w:eastAsia="Times New Roman" w:hAnsi="Verdana" w:cs="Times New Roman"/>
      <w:b/>
      <w:i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rsid w:val="005C3F64"/>
    <w:rPr>
      <w:rFonts w:ascii="Verdana" w:eastAsia="Times New Roman" w:hAnsi="Verdana" w:cs="Times New Roman"/>
      <w:b/>
      <w:i/>
      <w:kern w:val="0"/>
      <w:szCs w:val="20"/>
      <w:lang w:eastAsia="it-IT"/>
      <w14:ligatures w14:val="none"/>
    </w:rPr>
  </w:style>
  <w:style w:type="character" w:styleId="Enfasicorsivo">
    <w:name w:val="Emphasis"/>
    <w:basedOn w:val="Carpredefinitoparagrafo"/>
    <w:qFormat/>
    <w:rsid w:val="005C3F64"/>
    <w:rPr>
      <w:i/>
      <w:iCs/>
    </w:rPr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5C3F64"/>
    <w:pPr>
      <w:spacing w:after="120"/>
      <w:ind w:left="283"/>
    </w:pPr>
    <w:rPr>
      <w:sz w:val="22"/>
      <w:szCs w:val="22"/>
    </w:r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5C3F64"/>
    <w:rPr>
      <w:kern w:val="0"/>
      <w:sz w:val="22"/>
      <w:szCs w:val="22"/>
      <w14:ligatures w14:val="none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5C3F64"/>
    <w:pPr>
      <w:spacing w:after="120"/>
    </w:pPr>
    <w:rPr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5C3F64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518</Words>
  <Characters>2955</Characters>
  <Application>Microsoft Office Word</Application>
  <DocSecurity>0</DocSecurity>
  <Lines>24</Lines>
  <Paragraphs>6</Paragraphs>
  <ScaleCrop>false</ScaleCrop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 fortuna</dc:creator>
  <cp:keywords/>
  <dc:description/>
  <cp:lastModifiedBy>mara fortuna</cp:lastModifiedBy>
  <cp:revision>1</cp:revision>
  <dcterms:created xsi:type="dcterms:W3CDTF">2023-11-05T11:18:00Z</dcterms:created>
  <dcterms:modified xsi:type="dcterms:W3CDTF">2023-11-05T11:19:00Z</dcterms:modified>
</cp:coreProperties>
</file>